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A7D4D" w14:textId="37B9E872" w:rsidR="005416CE" w:rsidRPr="00DC5A7F" w:rsidRDefault="007D31AA" w:rsidP="00DC5A7F">
      <w:pPr>
        <w:jc w:val="center"/>
        <w:rPr>
          <w:b/>
          <w:bCs/>
        </w:rPr>
      </w:pPr>
      <w:r w:rsidRPr="00DC5A7F">
        <w:rPr>
          <w:b/>
          <w:bCs/>
        </w:rPr>
        <w:t>List of activities in WP6 – Ethics requirements</w:t>
      </w:r>
    </w:p>
    <w:p w14:paraId="33EE2653" w14:textId="77777777" w:rsidR="007D31AA" w:rsidRDefault="007D31AA" w:rsidP="005416CE"/>
    <w:tbl>
      <w:tblPr>
        <w:tblStyle w:val="Grigliatabella"/>
        <w:tblW w:w="5000" w:type="pct"/>
        <w:jc w:val="center"/>
        <w:tblLook w:val="04A0" w:firstRow="1" w:lastRow="0" w:firstColumn="1" w:lastColumn="0" w:noHBand="0" w:noVBand="1"/>
      </w:tblPr>
      <w:tblGrid>
        <w:gridCol w:w="1838"/>
        <w:gridCol w:w="7790"/>
      </w:tblGrid>
      <w:tr w:rsidR="005416CE" w14:paraId="4BEC60C2" w14:textId="77777777" w:rsidTr="005416CE">
        <w:trPr>
          <w:jc w:val="center"/>
        </w:trPr>
        <w:tc>
          <w:tcPr>
            <w:tcW w:w="1838" w:type="dxa"/>
          </w:tcPr>
          <w:p w14:paraId="60B401EB" w14:textId="77777777" w:rsidR="005416CE" w:rsidRDefault="005416CE" w:rsidP="007D31AA">
            <w:pPr>
              <w:jc w:val="both"/>
            </w:pPr>
            <w:r>
              <w:t>D.6.4</w:t>
            </w:r>
          </w:p>
          <w:p w14:paraId="74BA8A28" w14:textId="7012A545" w:rsidR="005416CE" w:rsidRPr="007D31AA" w:rsidRDefault="005416CE" w:rsidP="007D31AA">
            <w:pPr>
              <w:jc w:val="both"/>
            </w:pPr>
            <w:r w:rsidRPr="007D31AA">
              <w:t>OEI – Req. n.4</w:t>
            </w:r>
          </w:p>
          <w:p w14:paraId="33530F0D" w14:textId="53682382" w:rsidR="005416CE" w:rsidRPr="005416CE" w:rsidRDefault="007D31AA" w:rsidP="007D31AA">
            <w:pPr>
              <w:jc w:val="both"/>
              <w:rPr>
                <w:b/>
                <w:bCs/>
              </w:rPr>
            </w:pPr>
            <w:r w:rsidRPr="007D31AA">
              <w:rPr>
                <w:b/>
                <w:bCs/>
              </w:rPr>
              <w:t>April</w:t>
            </w:r>
            <w:r w:rsidR="005416CE" w:rsidRPr="007D31AA">
              <w:rPr>
                <w:b/>
                <w:bCs/>
              </w:rPr>
              <w:t xml:space="preserve"> 2024</w:t>
            </w:r>
          </w:p>
        </w:tc>
        <w:tc>
          <w:tcPr>
            <w:tcW w:w="7790" w:type="dxa"/>
          </w:tcPr>
          <w:p w14:paraId="14753C91" w14:textId="6FAA069D" w:rsidR="005416CE" w:rsidRDefault="005416CE" w:rsidP="007D31AA">
            <w:pPr>
              <w:jc w:val="both"/>
            </w:pPr>
            <w:r>
              <w:t>Ethics Advisor</w:t>
            </w:r>
            <w:r w:rsidR="007D31AA">
              <w:t xml:space="preserve"> - </w:t>
            </w:r>
            <w:r>
              <w:t xml:space="preserve">Due to the conduct of </w:t>
            </w:r>
            <w:r w:rsidR="007D31AA">
              <w:t>an</w:t>
            </w:r>
            <w:r>
              <w:t xml:space="preserve"> EU wide survey that will involve </w:t>
            </w:r>
            <w:proofErr w:type="gramStart"/>
            <w:r>
              <w:t>a large number of</w:t>
            </w:r>
            <w:proofErr w:type="gramEnd"/>
            <w:r>
              <w:t xml:space="preserve"> human participants, including vulnerable individuals/groups and collection, processing and transfer of a large amount of personal data and special categories of personal data, the project raises serious and/or complex ethics issues.  </w:t>
            </w:r>
          </w:p>
          <w:p w14:paraId="70A14E28" w14:textId="77777777" w:rsidR="005416CE" w:rsidRDefault="005416CE" w:rsidP="007D31AA">
            <w:pPr>
              <w:jc w:val="both"/>
            </w:pPr>
          </w:p>
          <w:p w14:paraId="7740394F" w14:textId="3EFC23D1" w:rsidR="005416CE" w:rsidRDefault="005416CE" w:rsidP="007D31AA">
            <w:pPr>
              <w:jc w:val="both"/>
            </w:pPr>
            <w:r>
              <w:t>The independent Ethics Advisor must advise the consortium at least on the following issues</w:t>
            </w:r>
            <w:r w:rsidR="007D31AA">
              <w:t>:</w:t>
            </w:r>
          </w:p>
          <w:p w14:paraId="75E37160" w14:textId="77777777" w:rsidR="005416CE" w:rsidRDefault="005416CE" w:rsidP="007D31AA">
            <w:pPr>
              <w:jc w:val="both"/>
            </w:pPr>
            <w:r>
              <w:t>- the participation of humans in a large scale</w:t>
            </w:r>
          </w:p>
          <w:p w14:paraId="31815C73" w14:textId="77777777" w:rsidR="005416CE" w:rsidRDefault="005416CE" w:rsidP="007D31AA">
            <w:pPr>
              <w:jc w:val="both"/>
            </w:pPr>
            <w:r>
              <w:t>- the proper handling of a large amount of personal and special categories data</w:t>
            </w:r>
          </w:p>
          <w:p w14:paraId="4AC462E5" w14:textId="77777777" w:rsidR="005416CE" w:rsidRDefault="005416CE" w:rsidP="007D31AA">
            <w:pPr>
              <w:jc w:val="both"/>
            </w:pPr>
            <w:r>
              <w:t>- the conduct of activities in non-EU countries</w:t>
            </w:r>
          </w:p>
          <w:p w14:paraId="6B12D117" w14:textId="77777777" w:rsidR="005416CE" w:rsidRDefault="005416CE" w:rsidP="007D31AA">
            <w:pPr>
              <w:jc w:val="both"/>
            </w:pPr>
            <w:r>
              <w:t>- the safety of individuals due to the activities in a war zone.</w:t>
            </w:r>
          </w:p>
        </w:tc>
      </w:tr>
      <w:tr w:rsidR="005416CE" w14:paraId="720752E0" w14:textId="77777777" w:rsidTr="005416CE">
        <w:trPr>
          <w:jc w:val="center"/>
        </w:trPr>
        <w:tc>
          <w:tcPr>
            <w:tcW w:w="1838" w:type="dxa"/>
          </w:tcPr>
          <w:p w14:paraId="35DBCC73" w14:textId="24D03C7B" w:rsidR="005416CE" w:rsidRPr="007D31AA" w:rsidRDefault="005416CE" w:rsidP="007D31AA">
            <w:pPr>
              <w:jc w:val="both"/>
            </w:pPr>
            <w:r w:rsidRPr="007D31AA">
              <w:t>D.6.1</w:t>
            </w:r>
            <w:r w:rsidRPr="007D31AA">
              <w:br/>
              <w:t xml:space="preserve">H – Req. n.1 </w:t>
            </w:r>
          </w:p>
          <w:p w14:paraId="2FB22F4A" w14:textId="6B4D480A" w:rsidR="005416CE" w:rsidRPr="007D31AA" w:rsidRDefault="005416CE" w:rsidP="007D31AA">
            <w:pPr>
              <w:jc w:val="both"/>
              <w:rPr>
                <w:b/>
                <w:bCs/>
              </w:rPr>
            </w:pPr>
            <w:r w:rsidRPr="007D31AA">
              <w:rPr>
                <w:b/>
                <w:bCs/>
              </w:rPr>
              <w:t>August 2024</w:t>
            </w:r>
          </w:p>
        </w:tc>
        <w:tc>
          <w:tcPr>
            <w:tcW w:w="7790" w:type="dxa"/>
          </w:tcPr>
          <w:p w14:paraId="14CA8F7A" w14:textId="77777777" w:rsidR="005416CE" w:rsidRDefault="005416CE" w:rsidP="007D31AA">
            <w:pPr>
              <w:jc w:val="both"/>
            </w:pPr>
            <w:r>
              <w:t xml:space="preserve">- The procedures and criteria that will be used to identify/recruit research participants must be submitted as a deliverable before the start of the relevant activities. </w:t>
            </w:r>
          </w:p>
          <w:p w14:paraId="39EF07F9" w14:textId="77777777" w:rsidR="005416CE" w:rsidRDefault="005416CE" w:rsidP="007D31AA">
            <w:pPr>
              <w:jc w:val="both"/>
            </w:pPr>
            <w:r>
              <w:t xml:space="preserve">- The informed consent procedures that will be implemented for the participation of humans and </w:t>
            </w:r>
            <w:proofErr w:type="gramStart"/>
            <w:r>
              <w:t>in regard to</w:t>
            </w:r>
            <w:proofErr w:type="gramEnd"/>
            <w:r>
              <w:t xml:space="preserve"> data processing must be submitted as a deliverable before the start of the relevant activities. </w:t>
            </w:r>
          </w:p>
          <w:p w14:paraId="2211AE54" w14:textId="77777777" w:rsidR="005416CE" w:rsidRDefault="005416CE" w:rsidP="007D31AA">
            <w:pPr>
              <w:jc w:val="both"/>
            </w:pPr>
            <w:r>
              <w:t xml:space="preserve">- Templates of the informed consent/assent forms and information sheets covering the voluntary participation and data protection issues (in language and terms intelligible to the participants) must be kept on file (to be specified in the grant agreement) and the English version must be submitted as a deliverable. </w:t>
            </w:r>
          </w:p>
          <w:p w14:paraId="61CCE66C" w14:textId="1B59A250" w:rsidR="005416CE" w:rsidRDefault="005416CE" w:rsidP="007D31AA">
            <w:pPr>
              <w:jc w:val="both"/>
            </w:pPr>
            <w:r>
              <w:t>- Clarification whether vulnerable individuals/groups will be involved, and, if so, adequate measures to protect them, prevent coercion and undue inducement, exacerbation of their vulnerability, and minimise the risk of harm and/or stigmatisation must be submitted as a deliverable before the start of the relevant activities.</w:t>
            </w:r>
          </w:p>
        </w:tc>
      </w:tr>
      <w:tr w:rsidR="005416CE" w14:paraId="3063E2D5" w14:textId="77777777" w:rsidTr="005416CE">
        <w:trPr>
          <w:jc w:val="center"/>
        </w:trPr>
        <w:tc>
          <w:tcPr>
            <w:tcW w:w="1838" w:type="dxa"/>
          </w:tcPr>
          <w:p w14:paraId="73926078" w14:textId="77777777" w:rsidR="005416CE" w:rsidRPr="007D31AA" w:rsidRDefault="005416CE" w:rsidP="007D31AA">
            <w:pPr>
              <w:jc w:val="both"/>
            </w:pPr>
            <w:r w:rsidRPr="007D31AA">
              <w:t>D.6.2</w:t>
            </w:r>
          </w:p>
          <w:p w14:paraId="7AB8B16F" w14:textId="552AD5CF" w:rsidR="005416CE" w:rsidRPr="007D31AA" w:rsidRDefault="005416CE" w:rsidP="007D31AA">
            <w:pPr>
              <w:jc w:val="both"/>
            </w:pPr>
            <w:r w:rsidRPr="007D31AA">
              <w:t>POPD – Req. n.2</w:t>
            </w:r>
          </w:p>
          <w:p w14:paraId="2279D976" w14:textId="0A86EBF5" w:rsidR="005416CE" w:rsidRPr="007D31AA" w:rsidRDefault="005416CE" w:rsidP="007D31AA">
            <w:pPr>
              <w:jc w:val="both"/>
            </w:pPr>
            <w:r w:rsidRPr="007D31AA">
              <w:rPr>
                <w:b/>
                <w:bCs/>
              </w:rPr>
              <w:t>August 2024</w:t>
            </w:r>
          </w:p>
        </w:tc>
        <w:tc>
          <w:tcPr>
            <w:tcW w:w="7790" w:type="dxa"/>
          </w:tcPr>
          <w:p w14:paraId="427D884B" w14:textId="77777777" w:rsidR="005416CE" w:rsidRDefault="005416CE" w:rsidP="007D31AA">
            <w:pPr>
              <w:jc w:val="both"/>
            </w:pPr>
            <w:r>
              <w:t xml:space="preserve">- Detailed justification for the processing of sensitive (‘special categories’) personal data must be submitted as a deliverable before the start of the relevant activities. </w:t>
            </w:r>
          </w:p>
          <w:p w14:paraId="64E27AE3" w14:textId="77777777" w:rsidR="005416CE" w:rsidRDefault="005416CE" w:rsidP="007D31AA">
            <w:pPr>
              <w:jc w:val="both"/>
            </w:pPr>
            <w:r>
              <w:t xml:space="preserve">- Clarification on how </w:t>
            </w:r>
            <w:proofErr w:type="gramStart"/>
            <w:r>
              <w:t>all of</w:t>
            </w:r>
            <w:proofErr w:type="gramEnd"/>
            <w:r>
              <w:t xml:space="preserve"> the personal data that will be processed are relevant and limited to the purposes of the research project (in accordance with the ‘data minimisation ‘principle) must be submitted as a deliverable before the start of the relevant activities.</w:t>
            </w:r>
          </w:p>
          <w:p w14:paraId="5F9147E8" w14:textId="77777777" w:rsidR="005416CE" w:rsidRDefault="005416CE" w:rsidP="007D31AA">
            <w:pPr>
              <w:jc w:val="both"/>
            </w:pPr>
            <w:r>
              <w:t>- A description of the technical and organisational measures that will be implemented to safeguard the rights and freedoms of the data subjects/research participants must be submitted as a deliverable before the start of the relevant activities.</w:t>
            </w:r>
          </w:p>
          <w:p w14:paraId="63806945" w14:textId="77777777" w:rsidR="005416CE" w:rsidRDefault="005416CE" w:rsidP="007D31AA">
            <w:pPr>
              <w:jc w:val="both"/>
            </w:pPr>
            <w:r>
              <w:t>- A description of the security measures that will be implemented to prevent unauthorised access to personal data or the equipment used for processing must be submitted as a deliverable before the start of the relevant activities.</w:t>
            </w:r>
          </w:p>
          <w:p w14:paraId="50535BAD" w14:textId="77777777" w:rsidR="005416CE" w:rsidRDefault="005416CE" w:rsidP="007D31AA">
            <w:pPr>
              <w:jc w:val="both"/>
            </w:pPr>
            <w:r>
              <w:t>- Description of the anonymization/pseudonymisation techniques that will be implemented must be submitted as a deliverable before the start of the relevant activities.</w:t>
            </w:r>
          </w:p>
          <w:p w14:paraId="28F0CCFF" w14:textId="01FE0ACE" w:rsidR="005416CE" w:rsidRDefault="005416CE" w:rsidP="007D31AA">
            <w:pPr>
              <w:jc w:val="both"/>
            </w:pPr>
            <w:r>
              <w:t xml:space="preserve">- For personal data that are transferred from the EU to a non-EU country or international organisation, justification that such transfers are in accordance with Chapter V of the General Data Protection Regulation 2016/679, must be [submitted as a deliverable before the start of the relevant activities. </w:t>
            </w:r>
          </w:p>
          <w:p w14:paraId="38F5219D" w14:textId="77777777" w:rsidR="005416CE" w:rsidRDefault="005416CE" w:rsidP="007D31AA">
            <w:pPr>
              <w:jc w:val="both"/>
            </w:pPr>
            <w:r>
              <w:t xml:space="preserve">- For personal data that are transferred from a non-EU country to the EU (or another third state), justification that such transfers comply with the laws of the </w:t>
            </w:r>
            <w:r>
              <w:lastRenderedPageBreak/>
              <w:t>country in which the data was collected must be submitted as a deliverable before the start of the relevant activities.</w:t>
            </w:r>
          </w:p>
          <w:p w14:paraId="2F1748BF" w14:textId="77777777" w:rsidR="005416CE" w:rsidRDefault="005416CE" w:rsidP="007D31AA">
            <w:pPr>
              <w:jc w:val="both"/>
            </w:pPr>
            <w:r>
              <w:t>- If applicable, for research involving profiling, an explanation as to how the data subjects will be informed of the existence of the profiling, its possible consequences and how their fundamental rights will be safeguarded must be submitted as a deliverable before the start of the relevant activities.</w:t>
            </w:r>
          </w:p>
          <w:p w14:paraId="2B4E9085" w14:textId="77777777" w:rsidR="005416CE" w:rsidRDefault="005416CE" w:rsidP="007D31AA">
            <w:pPr>
              <w:jc w:val="both"/>
            </w:pPr>
            <w:r>
              <w:t>- An explicit confirmation that the data used in the project is publicly available and can be freely used for the purposes of the project must be submitted as a deliverable before the start of the relevant activities.</w:t>
            </w:r>
          </w:p>
          <w:p w14:paraId="37983FA9" w14:textId="000AFC96" w:rsidR="005416CE" w:rsidRDefault="005416CE" w:rsidP="007D31AA">
            <w:pPr>
              <w:jc w:val="both"/>
            </w:pPr>
            <w:r>
              <w:t>- For the further processing of previously collected personal data, an explicit confirmation that the beneficiary has lawful basis for the data processing and that the appropriate technical and organisational measures are in place to safeguard the rights of the data subjects must be submitted as a deliverable before the start of the relevant activities.</w:t>
            </w:r>
          </w:p>
        </w:tc>
      </w:tr>
      <w:tr w:rsidR="005416CE" w14:paraId="131E0A38" w14:textId="77777777" w:rsidTr="005416CE">
        <w:trPr>
          <w:jc w:val="center"/>
        </w:trPr>
        <w:tc>
          <w:tcPr>
            <w:tcW w:w="1838" w:type="dxa"/>
          </w:tcPr>
          <w:p w14:paraId="39E69AC9" w14:textId="77777777" w:rsidR="005416CE" w:rsidRPr="007D31AA" w:rsidRDefault="005416CE" w:rsidP="007D31AA">
            <w:pPr>
              <w:jc w:val="both"/>
            </w:pPr>
            <w:r w:rsidRPr="007D31AA">
              <w:lastRenderedPageBreak/>
              <w:t>D.6.3</w:t>
            </w:r>
          </w:p>
          <w:p w14:paraId="3B1B05B8" w14:textId="5A0FA65C" w:rsidR="005416CE" w:rsidRPr="007D31AA" w:rsidRDefault="005416CE" w:rsidP="007D31AA">
            <w:pPr>
              <w:jc w:val="both"/>
            </w:pPr>
            <w:r w:rsidRPr="007D31AA">
              <w:t>NEC – Req. n.3</w:t>
            </w:r>
          </w:p>
          <w:p w14:paraId="73F0B006" w14:textId="54CD1B5C" w:rsidR="005416CE" w:rsidRPr="007D31AA" w:rsidRDefault="005416CE" w:rsidP="007D31AA">
            <w:pPr>
              <w:jc w:val="both"/>
            </w:pPr>
            <w:r w:rsidRPr="007D31AA">
              <w:rPr>
                <w:b/>
                <w:bCs/>
              </w:rPr>
              <w:t>August 2024</w:t>
            </w:r>
          </w:p>
        </w:tc>
        <w:tc>
          <w:tcPr>
            <w:tcW w:w="7790" w:type="dxa"/>
          </w:tcPr>
          <w:p w14:paraId="36311F9E" w14:textId="77777777" w:rsidR="005416CE" w:rsidRDefault="005416CE" w:rsidP="007D31AA">
            <w:pPr>
              <w:jc w:val="both"/>
            </w:pPr>
            <w:r>
              <w:t>- Activities undertaken outside the EU in non-EU countries must be legal in at least one EU Member State and comply with the Horizon Europe ethical standards. Detailed information on compliance of the relevant activities with respective legal framework(s) must be submitted as a deliverable before the start of the relevant activities.</w:t>
            </w:r>
          </w:p>
          <w:p w14:paraId="1596B70F" w14:textId="77777777" w:rsidR="005416CE" w:rsidRDefault="005416CE" w:rsidP="007D31AA">
            <w:pPr>
              <w:jc w:val="both"/>
            </w:pPr>
            <w:r>
              <w:t>- Detailed information to demonstrate that fair benefit-sharing arrangements with stakeholders from low and lower-middle income countries are ensured must be submitted as a deliverable before the start of the relevant activities.</w:t>
            </w:r>
          </w:p>
          <w:p w14:paraId="739DCC90" w14:textId="51F978F0" w:rsidR="005416CE" w:rsidRDefault="005416CE" w:rsidP="007D31AA">
            <w:pPr>
              <w:jc w:val="both"/>
            </w:pPr>
            <w:r>
              <w:t>- An assessment of the risks to research participants and staff involved in this project and detailed information on the measures to minimise those risks must be submitted as a deliverable before the start of the relevant activities.</w:t>
            </w:r>
          </w:p>
        </w:tc>
      </w:tr>
      <w:tr w:rsidR="005416CE" w14:paraId="6DE1BEEB" w14:textId="77777777" w:rsidTr="005416CE">
        <w:trPr>
          <w:jc w:val="center"/>
        </w:trPr>
        <w:tc>
          <w:tcPr>
            <w:tcW w:w="1838" w:type="dxa"/>
          </w:tcPr>
          <w:p w14:paraId="0B57D2D3" w14:textId="77777777" w:rsidR="005416CE" w:rsidRPr="007D31AA" w:rsidRDefault="005416CE" w:rsidP="007D31AA">
            <w:pPr>
              <w:jc w:val="both"/>
            </w:pPr>
            <w:r w:rsidRPr="007D31AA">
              <w:t>D.6.5</w:t>
            </w:r>
          </w:p>
          <w:p w14:paraId="16407DBE" w14:textId="5D0CF291" w:rsidR="005416CE" w:rsidRPr="007D31AA" w:rsidRDefault="005416CE" w:rsidP="007D31AA">
            <w:pPr>
              <w:jc w:val="both"/>
            </w:pPr>
            <w:r w:rsidRPr="007D31AA">
              <w:t>OEI – Req. n.5</w:t>
            </w:r>
          </w:p>
          <w:p w14:paraId="5BBE0431" w14:textId="4CB59AFA" w:rsidR="005416CE" w:rsidRPr="007D31AA" w:rsidRDefault="005416CE" w:rsidP="007D31AA">
            <w:pPr>
              <w:jc w:val="both"/>
            </w:pPr>
            <w:r w:rsidRPr="007D31AA">
              <w:rPr>
                <w:b/>
                <w:bCs/>
              </w:rPr>
              <w:t>August 2024</w:t>
            </w:r>
          </w:p>
        </w:tc>
        <w:tc>
          <w:tcPr>
            <w:tcW w:w="7790" w:type="dxa"/>
          </w:tcPr>
          <w:p w14:paraId="167B1794" w14:textId="799CEA57" w:rsidR="005416CE" w:rsidRDefault="005416CE" w:rsidP="007D31AA">
            <w:pPr>
              <w:jc w:val="both"/>
            </w:pPr>
            <w:r>
              <w:t>A report by the Ethics Advisor must be submitted at month 6.</w:t>
            </w:r>
          </w:p>
          <w:p w14:paraId="0B44569F" w14:textId="77777777" w:rsidR="005416CE" w:rsidRDefault="005416CE" w:rsidP="007D31AA">
            <w:pPr>
              <w:jc w:val="both"/>
            </w:pPr>
          </w:p>
          <w:p w14:paraId="57BBBAAC" w14:textId="3C94CB56" w:rsidR="005416CE" w:rsidRDefault="007D31AA" w:rsidP="007D31AA">
            <w:pPr>
              <w:jc w:val="both"/>
            </w:pPr>
            <w:r>
              <w:t>A</w:t>
            </w:r>
            <w:r w:rsidR="005416CE">
              <w:t>dvise the consortium at least on the following issues</w:t>
            </w:r>
            <w:r>
              <w:t>:</w:t>
            </w:r>
          </w:p>
          <w:p w14:paraId="57F53911" w14:textId="77777777" w:rsidR="005416CE" w:rsidRDefault="005416CE" w:rsidP="007D31AA">
            <w:pPr>
              <w:jc w:val="both"/>
            </w:pPr>
            <w:r>
              <w:t>- the participation of humans in a large scale</w:t>
            </w:r>
          </w:p>
          <w:p w14:paraId="759B202F" w14:textId="77777777" w:rsidR="005416CE" w:rsidRDefault="005416CE" w:rsidP="007D31AA">
            <w:pPr>
              <w:jc w:val="both"/>
            </w:pPr>
            <w:r>
              <w:t>- the proper handling of a large amount of personal and special categories data</w:t>
            </w:r>
          </w:p>
          <w:p w14:paraId="5B2E9133" w14:textId="77777777" w:rsidR="005416CE" w:rsidRDefault="005416CE" w:rsidP="007D31AA">
            <w:pPr>
              <w:jc w:val="both"/>
            </w:pPr>
            <w:r>
              <w:t>- the conduct of activities in non-EU countries</w:t>
            </w:r>
          </w:p>
          <w:p w14:paraId="23B3A830" w14:textId="2485418C" w:rsidR="005416CE" w:rsidRDefault="005416CE" w:rsidP="007D31AA">
            <w:pPr>
              <w:jc w:val="both"/>
            </w:pPr>
            <w:r>
              <w:t>- the safety of individuals due to the activities in a war zone.</w:t>
            </w:r>
          </w:p>
        </w:tc>
      </w:tr>
      <w:tr w:rsidR="005416CE" w14:paraId="783943BA" w14:textId="77777777" w:rsidTr="005416CE">
        <w:trPr>
          <w:jc w:val="center"/>
        </w:trPr>
        <w:tc>
          <w:tcPr>
            <w:tcW w:w="1838" w:type="dxa"/>
          </w:tcPr>
          <w:p w14:paraId="0EE0ED02" w14:textId="77777777" w:rsidR="005416CE" w:rsidRPr="007D31AA" w:rsidRDefault="005416CE" w:rsidP="007D31AA">
            <w:pPr>
              <w:jc w:val="both"/>
            </w:pPr>
            <w:r w:rsidRPr="007D31AA">
              <w:t>D.6.6</w:t>
            </w:r>
          </w:p>
          <w:p w14:paraId="45BA6510" w14:textId="60182EDE" w:rsidR="005416CE" w:rsidRPr="007D31AA" w:rsidRDefault="005416CE" w:rsidP="007D31AA">
            <w:pPr>
              <w:jc w:val="both"/>
            </w:pPr>
            <w:r w:rsidRPr="007D31AA">
              <w:t>OEI – Req. n.6</w:t>
            </w:r>
          </w:p>
          <w:p w14:paraId="1275CE4C" w14:textId="13D6F854" w:rsidR="005416CE" w:rsidRPr="007D31AA" w:rsidRDefault="005416CE" w:rsidP="007D31AA">
            <w:pPr>
              <w:jc w:val="both"/>
            </w:pPr>
            <w:r w:rsidRPr="007D31AA">
              <w:rPr>
                <w:b/>
                <w:bCs/>
              </w:rPr>
              <w:t>August 2025</w:t>
            </w:r>
          </w:p>
        </w:tc>
        <w:tc>
          <w:tcPr>
            <w:tcW w:w="7790" w:type="dxa"/>
          </w:tcPr>
          <w:p w14:paraId="5E9AF2EF" w14:textId="247828A5" w:rsidR="005416CE" w:rsidRDefault="005416CE" w:rsidP="007D31AA">
            <w:pPr>
              <w:jc w:val="both"/>
            </w:pPr>
            <w:r>
              <w:t xml:space="preserve">A report by the Ethics Advisor must be submitted at month </w:t>
            </w:r>
            <w:r w:rsidR="007D31AA">
              <w:t>18.</w:t>
            </w:r>
          </w:p>
          <w:p w14:paraId="7966A90A" w14:textId="77777777" w:rsidR="005416CE" w:rsidRDefault="005416CE" w:rsidP="007D31AA">
            <w:pPr>
              <w:jc w:val="both"/>
            </w:pPr>
          </w:p>
          <w:p w14:paraId="726FEC40" w14:textId="24E22689" w:rsidR="005416CE" w:rsidRDefault="007D31AA" w:rsidP="007D31AA">
            <w:pPr>
              <w:jc w:val="both"/>
            </w:pPr>
            <w:r>
              <w:t>A</w:t>
            </w:r>
            <w:r w:rsidR="005416CE">
              <w:t>dvise the consortium at least on the following issues</w:t>
            </w:r>
            <w:r>
              <w:t>:</w:t>
            </w:r>
          </w:p>
          <w:p w14:paraId="4AC74AC3" w14:textId="77777777" w:rsidR="005416CE" w:rsidRDefault="005416CE" w:rsidP="007D31AA">
            <w:pPr>
              <w:jc w:val="both"/>
            </w:pPr>
            <w:r>
              <w:t>- the participation of humans in a large scale</w:t>
            </w:r>
          </w:p>
          <w:p w14:paraId="5A8BE9E3" w14:textId="77777777" w:rsidR="005416CE" w:rsidRDefault="005416CE" w:rsidP="007D31AA">
            <w:pPr>
              <w:jc w:val="both"/>
            </w:pPr>
            <w:r>
              <w:t>- the proper handling of a large amount of personal and special categories data</w:t>
            </w:r>
          </w:p>
          <w:p w14:paraId="44989B81" w14:textId="77777777" w:rsidR="005416CE" w:rsidRDefault="005416CE" w:rsidP="007D31AA">
            <w:pPr>
              <w:jc w:val="both"/>
            </w:pPr>
            <w:r>
              <w:t>- the conduct of activities in non-EU countries</w:t>
            </w:r>
          </w:p>
          <w:p w14:paraId="4C77F7A6" w14:textId="2D928F3D" w:rsidR="005416CE" w:rsidRDefault="005416CE" w:rsidP="007D31AA">
            <w:pPr>
              <w:jc w:val="both"/>
            </w:pPr>
            <w:r>
              <w:t>- the safety of individuals due to the activities in a war zone.</w:t>
            </w:r>
          </w:p>
        </w:tc>
      </w:tr>
      <w:tr w:rsidR="005416CE" w14:paraId="285A15DC" w14:textId="77777777" w:rsidTr="005416CE">
        <w:trPr>
          <w:jc w:val="center"/>
        </w:trPr>
        <w:tc>
          <w:tcPr>
            <w:tcW w:w="1838" w:type="dxa"/>
          </w:tcPr>
          <w:p w14:paraId="539D7B1D" w14:textId="77777777" w:rsidR="005416CE" w:rsidRPr="007D31AA" w:rsidRDefault="005416CE" w:rsidP="007D31AA">
            <w:pPr>
              <w:jc w:val="both"/>
            </w:pPr>
            <w:r w:rsidRPr="007D31AA">
              <w:t>D.6.7</w:t>
            </w:r>
          </w:p>
          <w:p w14:paraId="07478455" w14:textId="5E4538B5" w:rsidR="005416CE" w:rsidRPr="007D31AA" w:rsidRDefault="005416CE" w:rsidP="007D31AA">
            <w:pPr>
              <w:jc w:val="both"/>
            </w:pPr>
            <w:r w:rsidRPr="007D31AA">
              <w:t>OEI – Req. n.7</w:t>
            </w:r>
          </w:p>
          <w:p w14:paraId="014D4F11" w14:textId="39017792" w:rsidR="005416CE" w:rsidRPr="007D31AA" w:rsidRDefault="005416CE" w:rsidP="007D31AA">
            <w:pPr>
              <w:jc w:val="both"/>
            </w:pPr>
            <w:r w:rsidRPr="007D31AA">
              <w:rPr>
                <w:b/>
                <w:bCs/>
              </w:rPr>
              <w:t>February 2027</w:t>
            </w:r>
          </w:p>
        </w:tc>
        <w:tc>
          <w:tcPr>
            <w:tcW w:w="7790" w:type="dxa"/>
          </w:tcPr>
          <w:p w14:paraId="5CCCB5D9" w14:textId="30BC02E8" w:rsidR="005416CE" w:rsidRDefault="005416CE" w:rsidP="007D31AA">
            <w:pPr>
              <w:jc w:val="both"/>
            </w:pPr>
            <w:r>
              <w:t xml:space="preserve">A report by the Ethics Advisor must be submitted at month </w:t>
            </w:r>
            <w:r w:rsidR="007D31AA">
              <w:t>36.</w:t>
            </w:r>
          </w:p>
          <w:p w14:paraId="34693ACC" w14:textId="77777777" w:rsidR="005416CE" w:rsidRDefault="005416CE" w:rsidP="007D31AA">
            <w:pPr>
              <w:jc w:val="both"/>
            </w:pPr>
          </w:p>
          <w:p w14:paraId="44016C57" w14:textId="2E683AF1" w:rsidR="005416CE" w:rsidRDefault="007D31AA" w:rsidP="007D31AA">
            <w:pPr>
              <w:jc w:val="both"/>
            </w:pPr>
            <w:r>
              <w:t>A</w:t>
            </w:r>
            <w:r w:rsidR="005416CE">
              <w:t>dvise the consortium at least on the following issues</w:t>
            </w:r>
            <w:r>
              <w:t>:</w:t>
            </w:r>
          </w:p>
          <w:p w14:paraId="05A62358" w14:textId="77777777" w:rsidR="005416CE" w:rsidRDefault="005416CE" w:rsidP="007D31AA">
            <w:pPr>
              <w:jc w:val="both"/>
            </w:pPr>
            <w:r>
              <w:t>- the participation of humans in a large scale</w:t>
            </w:r>
          </w:p>
          <w:p w14:paraId="51A6A35C" w14:textId="77777777" w:rsidR="005416CE" w:rsidRDefault="005416CE" w:rsidP="007D31AA">
            <w:pPr>
              <w:jc w:val="both"/>
            </w:pPr>
            <w:r>
              <w:t>- the proper handling of a large amount of personal and special categories data</w:t>
            </w:r>
          </w:p>
          <w:p w14:paraId="00D5E9B3" w14:textId="77777777" w:rsidR="005416CE" w:rsidRDefault="005416CE" w:rsidP="007D31AA">
            <w:pPr>
              <w:jc w:val="both"/>
            </w:pPr>
            <w:r>
              <w:t>- the conduct of activities in non-EU countries</w:t>
            </w:r>
          </w:p>
          <w:p w14:paraId="0DDEF893" w14:textId="2973335F" w:rsidR="005416CE" w:rsidRDefault="005416CE" w:rsidP="007D31AA">
            <w:pPr>
              <w:jc w:val="both"/>
            </w:pPr>
            <w:r>
              <w:t>- the safety of individuals due to the activities in a war zone.</w:t>
            </w:r>
          </w:p>
        </w:tc>
      </w:tr>
    </w:tbl>
    <w:p w14:paraId="0A5341DE" w14:textId="7C0F1F8E" w:rsidR="005416CE" w:rsidRDefault="005416CE" w:rsidP="005416CE"/>
    <w:sectPr w:rsidR="005416C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354D8" w14:textId="77777777" w:rsidR="00DC5A7F" w:rsidRDefault="00DC5A7F" w:rsidP="00DC5A7F">
      <w:r>
        <w:separator/>
      </w:r>
    </w:p>
  </w:endnote>
  <w:endnote w:type="continuationSeparator" w:id="0">
    <w:p w14:paraId="6B512FAA" w14:textId="77777777" w:rsidR="00DC5A7F" w:rsidRDefault="00DC5A7F" w:rsidP="00DC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0302F" w14:textId="77777777" w:rsidR="00DC5A7F" w:rsidRDefault="00DC5A7F" w:rsidP="00DC5A7F">
      <w:r>
        <w:separator/>
      </w:r>
    </w:p>
  </w:footnote>
  <w:footnote w:type="continuationSeparator" w:id="0">
    <w:p w14:paraId="32A3003A" w14:textId="77777777" w:rsidR="00DC5A7F" w:rsidRDefault="00DC5A7F" w:rsidP="00DC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99B1" w14:textId="199473B6" w:rsidR="00DC5A7F" w:rsidRDefault="00DC5A7F">
    <w:pPr>
      <w:pStyle w:val="Intestazione"/>
    </w:pPr>
    <w:r>
      <w:t>Annex 3 – List of activities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CE"/>
    <w:rsid w:val="000A73AC"/>
    <w:rsid w:val="003F22D2"/>
    <w:rsid w:val="004A6F66"/>
    <w:rsid w:val="005416CE"/>
    <w:rsid w:val="005A17D3"/>
    <w:rsid w:val="007D31AA"/>
    <w:rsid w:val="00C11AEC"/>
    <w:rsid w:val="00DC5A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177F1"/>
  <w15:chartTrackingRefBased/>
  <w15:docId w15:val="{0EBDC3DC-D274-45A9-8C89-EB0D2282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541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41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416C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416C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416C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416C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416C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416C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416C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16CE"/>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5416CE"/>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5416CE"/>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5416CE"/>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5416CE"/>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5416CE"/>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5416CE"/>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5416CE"/>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5416CE"/>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5416C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416CE"/>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5416C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416CE"/>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5416C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416CE"/>
    <w:rPr>
      <w:i/>
      <w:iCs/>
      <w:color w:val="404040" w:themeColor="text1" w:themeTint="BF"/>
      <w:lang w:val="en-GB"/>
    </w:rPr>
  </w:style>
  <w:style w:type="paragraph" w:styleId="Paragrafoelenco">
    <w:name w:val="List Paragraph"/>
    <w:basedOn w:val="Normale"/>
    <w:uiPriority w:val="34"/>
    <w:qFormat/>
    <w:rsid w:val="005416CE"/>
    <w:pPr>
      <w:ind w:left="720"/>
      <w:contextualSpacing/>
    </w:pPr>
  </w:style>
  <w:style w:type="character" w:styleId="Enfasiintensa">
    <w:name w:val="Intense Emphasis"/>
    <w:basedOn w:val="Carpredefinitoparagrafo"/>
    <w:uiPriority w:val="21"/>
    <w:qFormat/>
    <w:rsid w:val="005416CE"/>
    <w:rPr>
      <w:i/>
      <w:iCs/>
      <w:color w:val="0F4761" w:themeColor="accent1" w:themeShade="BF"/>
    </w:rPr>
  </w:style>
  <w:style w:type="paragraph" w:styleId="Citazioneintensa">
    <w:name w:val="Intense Quote"/>
    <w:basedOn w:val="Normale"/>
    <w:next w:val="Normale"/>
    <w:link w:val="CitazioneintensaCarattere"/>
    <w:uiPriority w:val="30"/>
    <w:qFormat/>
    <w:rsid w:val="00541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416CE"/>
    <w:rPr>
      <w:i/>
      <w:iCs/>
      <w:color w:val="0F4761" w:themeColor="accent1" w:themeShade="BF"/>
      <w:lang w:val="en-GB"/>
    </w:rPr>
  </w:style>
  <w:style w:type="character" w:styleId="Riferimentointenso">
    <w:name w:val="Intense Reference"/>
    <w:basedOn w:val="Carpredefinitoparagrafo"/>
    <w:uiPriority w:val="32"/>
    <w:qFormat/>
    <w:rsid w:val="005416CE"/>
    <w:rPr>
      <w:b/>
      <w:bCs/>
      <w:smallCaps/>
      <w:color w:val="0F4761" w:themeColor="accent1" w:themeShade="BF"/>
      <w:spacing w:val="5"/>
    </w:rPr>
  </w:style>
  <w:style w:type="table" w:styleId="Grigliatabella">
    <w:name w:val="Table Grid"/>
    <w:basedOn w:val="Tabellanormale"/>
    <w:uiPriority w:val="39"/>
    <w:rsid w:val="0054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C5A7F"/>
    <w:pPr>
      <w:tabs>
        <w:tab w:val="center" w:pos="4819"/>
        <w:tab w:val="right" w:pos="9638"/>
      </w:tabs>
    </w:pPr>
  </w:style>
  <w:style w:type="character" w:customStyle="1" w:styleId="IntestazioneCarattere">
    <w:name w:val="Intestazione Carattere"/>
    <w:basedOn w:val="Carpredefinitoparagrafo"/>
    <w:link w:val="Intestazione"/>
    <w:uiPriority w:val="99"/>
    <w:rsid w:val="00DC5A7F"/>
    <w:rPr>
      <w:lang w:val="en-GB"/>
    </w:rPr>
  </w:style>
  <w:style w:type="paragraph" w:styleId="Pidipagina">
    <w:name w:val="footer"/>
    <w:basedOn w:val="Normale"/>
    <w:link w:val="PidipaginaCarattere"/>
    <w:uiPriority w:val="99"/>
    <w:unhideWhenUsed/>
    <w:rsid w:val="00DC5A7F"/>
    <w:pPr>
      <w:tabs>
        <w:tab w:val="center" w:pos="4819"/>
        <w:tab w:val="right" w:pos="9638"/>
      </w:tabs>
    </w:pPr>
  </w:style>
  <w:style w:type="character" w:customStyle="1" w:styleId="PidipaginaCarattere">
    <w:name w:val="Piè di pagina Carattere"/>
    <w:basedOn w:val="Carpredefinitoparagrafo"/>
    <w:link w:val="Pidipagina"/>
    <w:uiPriority w:val="99"/>
    <w:rsid w:val="00DC5A7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5372</Characters>
  <Application>Microsoft Office Word</Application>
  <DocSecurity>0</DocSecurity>
  <Lines>44</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Euprojects</dc:creator>
  <cp:keywords/>
  <dc:description/>
  <cp:lastModifiedBy>Ana Aligrudic</cp:lastModifiedBy>
  <cp:revision>3</cp:revision>
  <dcterms:created xsi:type="dcterms:W3CDTF">2024-04-03T14:42:00Z</dcterms:created>
  <dcterms:modified xsi:type="dcterms:W3CDTF">2024-04-29T15:49:00Z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e226d014-deb6-4299-97fe-8ba5effe6679</vt:lpwstr>
  </property>
</Properties>
</file>